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numPr>
          <w:ilvl w:val="0"/>
          <w:numId w:val="1"/>
        </w:numPr>
        <w:spacing w:before="240" w:after="240"/>
        <w:rPr>
          <w:rFonts w:ascii="Titillium" w:hAnsi="Titillium"/>
          <w:sz w:val="20"/>
          <w:szCs w:val="20"/>
        </w:rPr>
      </w:pPr>
      <w:r>
        <w:rPr>
          <w:rFonts w:ascii="Titillium" w:hAnsi="Titillium"/>
          <w:sz w:val="20"/>
          <w:szCs w:val="20"/>
        </w:rPr>
        <w:t>Scheda di sintesi sulla rilevazione degli OIV o organismi con funzioni analoghe</w:t>
      </w:r>
    </w:p>
    <w:p>
      <w:pPr>
        <w:pStyle w:val="ListParagraph"/>
        <w:ind w:left="0" w:hanging="0"/>
        <w:rPr>
          <w:rFonts w:ascii="Titillium" w:hAnsi="Titillium"/>
          <w:sz w:val="20"/>
          <w:szCs w:val="20"/>
        </w:rPr>
      </w:pPr>
      <w:r>
        <w:rPr>
          <w:rFonts w:ascii="Titillium" w:hAnsi="Titillium"/>
          <w:sz w:val="20"/>
          <w:szCs w:val="20"/>
        </w:rPr>
      </w:r>
    </w:p>
    <w:p>
      <w:pPr>
        <w:pStyle w:val="ListParagraph"/>
        <w:spacing w:lineRule="auto" w:line="360"/>
        <w:ind w:left="0" w:hanging="0"/>
        <w:rPr>
          <w:rFonts w:ascii="Titillium" w:hAnsi="Titillium"/>
          <w:b/>
          <w:b/>
          <w:i/>
          <w:i/>
          <w:sz w:val="20"/>
          <w:szCs w:val="20"/>
        </w:rPr>
      </w:pPr>
      <w:r>
        <w:rPr>
          <w:rFonts w:ascii="Titillium" w:hAnsi="Titillium"/>
          <w:b/>
          <w:i/>
          <w:sz w:val="20"/>
          <w:szCs w:val="20"/>
        </w:rPr>
        <w:t>Data di svolgimento della rilevazione</w:t>
      </w:r>
    </w:p>
    <w:p>
      <w:pPr>
        <w:pStyle w:val="ListParagraph"/>
        <w:spacing w:lineRule="auto" w:line="276" w:before="0" w:after="0"/>
        <w:ind w:left="0" w:hanging="0"/>
        <w:rPr>
          <w:rFonts w:ascii="Titillium" w:hAnsi="Titillium"/>
          <w:sz w:val="20"/>
          <w:szCs w:val="20"/>
        </w:rPr>
      </w:pPr>
      <w:r>
        <w:rPr>
          <w:rFonts w:ascii="Titillium" w:hAnsi="Titillium"/>
          <w:sz w:val="20"/>
          <w:szCs w:val="20"/>
        </w:rPr>
        <w:t xml:space="preserve">Indicare la data di svolgimento della rilevazione nel formato: </w:t>
      </w:r>
      <w:r>
        <w:rPr>
          <w:rFonts w:ascii="Titillium" w:hAnsi="Titillium"/>
          <w:b/>
          <w:bCs/>
          <w:sz w:val="20"/>
          <w:szCs w:val="20"/>
        </w:rPr>
        <w:t>31/05/2022.</w:t>
      </w:r>
    </w:p>
    <w:p>
      <w:pPr>
        <w:pStyle w:val="ListParagraph"/>
        <w:spacing w:lineRule="auto" w:line="276"/>
        <w:ind w:left="0" w:hanging="0"/>
        <w:rPr>
          <w:rFonts w:ascii="Titillium" w:hAnsi="Titillium"/>
          <w:sz w:val="20"/>
          <w:szCs w:val="20"/>
          <w:u w:val="single"/>
        </w:rPr>
      </w:pPr>
      <w:r>
        <w:rPr>
          <w:rFonts w:ascii="Titillium" w:hAnsi="Titillium"/>
          <w:sz w:val="20"/>
          <w:szCs w:val="20"/>
        </w:rPr>
        <w:t xml:space="preserve">Indicare la </w:t>
      </w:r>
      <w:r>
        <w:rPr>
          <w:rFonts w:ascii="Titillium" w:hAnsi="Titillium"/>
          <w:sz w:val="20"/>
          <w:szCs w:val="20"/>
          <w:u w:val="single"/>
        </w:rPr>
        <w:t xml:space="preserve">data di inizio: </w:t>
      </w:r>
      <w:r>
        <w:rPr>
          <w:rFonts w:ascii="Titillium" w:hAnsi="Titillium"/>
          <w:b/>
          <w:bCs/>
          <w:sz w:val="20"/>
          <w:szCs w:val="20"/>
          <w:u w:val="single"/>
        </w:rPr>
        <w:t>27/05/2022</w:t>
      </w:r>
      <w:r>
        <w:rPr>
          <w:rFonts w:ascii="Titillium" w:hAnsi="Titillium"/>
          <w:sz w:val="20"/>
          <w:szCs w:val="20"/>
          <w:u w:val="single"/>
        </w:rPr>
        <w:t xml:space="preserve"> e di fine:</w:t>
      </w:r>
      <w:r>
        <w:rPr>
          <w:rFonts w:ascii="Titillium" w:hAnsi="Titillium"/>
          <w:sz w:val="20"/>
          <w:szCs w:val="20"/>
        </w:rPr>
        <w:t xml:space="preserve"> </w:t>
      </w:r>
      <w:r>
        <w:rPr>
          <w:rFonts w:ascii="Titillium" w:hAnsi="Titillium"/>
          <w:b/>
          <w:sz w:val="20"/>
          <w:szCs w:val="20"/>
          <w:u w:val="single"/>
        </w:rPr>
        <w:t>31/05/2022</w:t>
      </w:r>
      <w:r>
        <w:rPr>
          <w:rFonts w:ascii="Titillium" w:hAnsi="Titillium"/>
          <w:sz w:val="20"/>
          <w:szCs w:val="20"/>
        </w:rPr>
        <w:t xml:space="preserve"> della rilevazione.</w:t>
      </w:r>
    </w:p>
    <w:p>
      <w:pPr>
        <w:pStyle w:val="ListParagraph"/>
        <w:spacing w:lineRule="auto" w:line="276"/>
        <w:ind w:left="0" w:hanging="0"/>
        <w:rPr>
          <w:rFonts w:ascii="Titillium" w:hAnsi="Titillium"/>
          <w:sz w:val="20"/>
          <w:szCs w:val="20"/>
        </w:rPr>
      </w:pPr>
      <w:r>
        <w:rPr>
          <w:rFonts w:ascii="Titillium" w:hAnsi="Titillium"/>
          <w:sz w:val="20"/>
          <w:szCs w:val="20"/>
        </w:rPr>
      </w:r>
    </w:p>
    <w:p>
      <w:pPr>
        <w:pStyle w:val="ListParagraph"/>
        <w:spacing w:before="0" w:after="0"/>
        <w:ind w:left="0" w:hanging="0"/>
        <w:rPr>
          <w:rFonts w:ascii="Titillium" w:hAnsi="Titillium"/>
          <w:b/>
          <w:b/>
          <w:i/>
          <w:i/>
          <w:sz w:val="20"/>
          <w:szCs w:val="20"/>
        </w:rPr>
      </w:pPr>
      <w:r>
        <w:rPr>
          <w:rFonts w:ascii="Titillium" w:hAnsi="Titillium"/>
          <w:b/>
          <w:i/>
          <w:sz w:val="20"/>
          <w:szCs w:val="20"/>
        </w:rPr>
        <w:t>Estensione della rilevazione (nel solo caso di amministrazioni/enti con uffici periferici)</w:t>
      </w:r>
    </w:p>
    <w:p>
      <w:pPr>
        <w:pStyle w:val="ListParagraph"/>
        <w:spacing w:before="0" w:after="0"/>
        <w:ind w:left="0" w:hanging="0"/>
        <w:rPr>
          <w:rFonts w:ascii="Titillium" w:hAnsi="Titillium"/>
          <w:b/>
          <w:b/>
          <w:sz w:val="20"/>
          <w:szCs w:val="20"/>
          <w:u w:val="single"/>
        </w:rPr>
      </w:pPr>
      <w:r>
        <w:rPr>
          <w:rFonts w:ascii="Titillium" w:hAnsi="Titillium"/>
          <w:b/>
          <w:sz w:val="20"/>
          <w:szCs w:val="20"/>
          <w:u w:val="single"/>
        </w:rPr>
      </w:r>
    </w:p>
    <w:p>
      <w:pPr>
        <w:pStyle w:val="ListParagraph"/>
        <w:spacing w:lineRule="auto" w:line="360" w:before="0" w:after="0"/>
        <w:ind w:left="0" w:hanging="0"/>
        <w:rPr>
          <w:rFonts w:ascii="Titillium" w:hAnsi="Titillium"/>
          <w:b/>
          <w:b/>
          <w:sz w:val="20"/>
          <w:szCs w:val="20"/>
        </w:rPr>
      </w:pPr>
      <w:r>
        <w:rPr>
          <w:rFonts w:ascii="Titillium" w:hAnsi="Titillium"/>
          <w:sz w:val="20"/>
          <w:szCs w:val="20"/>
        </w:rPr>
        <w:t xml:space="preserve">Indicare il numero complessivo degli uffici periferici esistenti e, se diverse, le tipologie di uffici periferici: </w:t>
      </w:r>
      <w:r>
        <w:rPr>
          <w:rFonts w:ascii="Titillium" w:hAnsi="Titillium"/>
          <w:b/>
          <w:bCs/>
          <w:sz w:val="20"/>
          <w:szCs w:val="20"/>
        </w:rPr>
        <w:t>l’</w:t>
      </w:r>
      <w:r>
        <w:rPr>
          <w:rFonts w:ascii="Titillium" w:hAnsi="Titillium"/>
          <w:b/>
          <w:bCs/>
          <w:sz w:val="20"/>
          <w:szCs w:val="20"/>
        </w:rPr>
        <w:t>Ordine NON HA UFFICI PERIFERICI</w:t>
      </w:r>
    </w:p>
    <w:p>
      <w:pPr>
        <w:pStyle w:val="ListParagraph"/>
        <w:spacing w:lineRule="auto" w:line="360" w:before="0" w:after="0"/>
        <w:ind w:left="0" w:hanging="0"/>
        <w:rPr>
          <w:rFonts w:ascii="Titillium" w:hAnsi="Titillium"/>
          <w:sz w:val="20"/>
          <w:szCs w:val="20"/>
        </w:rPr>
      </w:pPr>
      <w:r>
        <w:rPr>
          <w:rFonts w:ascii="Titillium" w:hAnsi="Titillium"/>
          <w:sz w:val="20"/>
          <w:szCs w:val="20"/>
        </w:rPr>
        <w:t>Per la formazione del campione di uffici periferici su cui effettuare la rilevazione, indicare il criterio di selezione del campione.</w:t>
      </w:r>
    </w:p>
    <w:p>
      <w:pPr>
        <w:pStyle w:val="Normal"/>
        <w:tabs>
          <w:tab w:val="clear" w:pos="708"/>
          <w:tab w:val="left" w:pos="0" w:leader="none"/>
        </w:tabs>
        <w:spacing w:lineRule="auto" w:line="360" w:before="0" w:after="0"/>
        <w:rPr>
          <w:rFonts w:ascii="Titillium" w:hAnsi="Titillium"/>
          <w:sz w:val="20"/>
          <w:szCs w:val="20"/>
        </w:rPr>
      </w:pPr>
      <w:r>
        <w:rPr>
          <w:rFonts w:ascii="Titillium" w:hAnsi="Titillium"/>
          <w:sz w:val="20"/>
          <w:szCs w:val="20"/>
        </w:rPr>
        <w:t>Riportare l’elenco degli uffici periferici selezionati.</w:t>
      </w:r>
    </w:p>
    <w:p>
      <w:pPr>
        <w:pStyle w:val="ListParagraph"/>
        <w:spacing w:lineRule="auto" w:line="276" w:before="0" w:after="0"/>
        <w:ind w:left="720" w:hanging="0"/>
        <w:rPr>
          <w:rFonts w:ascii="Titillium" w:hAnsi="Titillium"/>
          <w:sz w:val="20"/>
          <w:szCs w:val="20"/>
        </w:rPr>
      </w:pPr>
      <w:r>
        <w:rPr>
          <w:rFonts w:ascii="Titillium" w:hAnsi="Titillium"/>
          <w:sz w:val="20"/>
          <w:szCs w:val="20"/>
        </w:rPr>
      </w:r>
    </w:p>
    <w:p>
      <w:pPr>
        <w:pStyle w:val="ListParagraph"/>
        <w:spacing w:lineRule="auto" w:line="360"/>
        <w:ind w:left="0" w:hanging="0"/>
        <w:rPr>
          <w:rFonts w:ascii="Titillium" w:hAnsi="Titillium"/>
          <w:b/>
          <w:b/>
          <w:i/>
          <w:i/>
          <w:sz w:val="20"/>
          <w:szCs w:val="20"/>
        </w:rPr>
      </w:pPr>
      <w:r>
        <w:rPr>
          <w:rFonts w:ascii="Titillium" w:hAnsi="Titillium"/>
          <w:b/>
          <w:i/>
          <w:sz w:val="20"/>
          <w:szCs w:val="20"/>
        </w:rPr>
        <w:t xml:space="preserve">Procedure e modalità seguite per la rilevazione </w:t>
      </w:r>
    </w:p>
    <w:p>
      <w:pPr>
        <w:pStyle w:val="ListParagraph"/>
        <w:spacing w:lineRule="auto" w:line="360" w:before="0" w:after="0"/>
        <w:ind w:left="0" w:hanging="0"/>
        <w:rPr>
          <w:rFonts w:ascii="Titillium" w:hAnsi="Titillium"/>
          <w:sz w:val="20"/>
          <w:szCs w:val="20"/>
        </w:rPr>
      </w:pPr>
      <w:r>
        <w:rPr>
          <w:rFonts w:ascii="Titillium" w:hAnsi="Titillium"/>
          <w:sz w:val="20"/>
          <w:szCs w:val="20"/>
        </w:rPr>
        <w:t>Indicare il procedimento e le modalità seguite per condurre la rilevazione.</w:t>
      </w:r>
    </w:p>
    <w:p>
      <w:pPr>
        <w:pStyle w:val="Default"/>
        <w:tabs>
          <w:tab w:val="clear" w:pos="708"/>
          <w:tab w:val="left" w:pos="0" w:leader="none"/>
        </w:tabs>
        <w:spacing w:lineRule="auto" w:line="360"/>
        <w:jc w:val="both"/>
        <w:rPr>
          <w:rFonts w:ascii="Titillium" w:hAnsi="Titillium"/>
          <w:sz w:val="20"/>
          <w:szCs w:val="20"/>
        </w:rPr>
      </w:pPr>
      <w:bookmarkStart w:id="0" w:name="_GoBack"/>
      <w:bookmarkEnd w:id="0"/>
      <w:r>
        <w:rPr>
          <w:rFonts w:ascii="Wingdings" w:hAnsi="Wingdings"/>
          <w:b w:val="false"/>
          <w:bCs w:val="false"/>
        </w:rPr>
        <w:t></w:t>
      </w:r>
      <w:r>
        <w:rPr>
          <w:rFonts w:ascii="Wingdings" w:hAnsi="Wingdings"/>
        </w:rPr>
        <w:t></w:t>
      </w:r>
      <w:r>
        <w:rPr>
          <w:rFonts w:ascii="Titillium" w:hAnsi="Titillium"/>
          <w:sz w:val="20"/>
          <w:szCs w:val="20"/>
        </w:rPr>
        <w:t>verifica dell’attività svolta dal Responsabile della prevenzione della corruzione e della trasparenza per riscontrare l’adempimento degli obblighi di pubblicazione;</w:t>
      </w:r>
    </w:p>
    <w:p>
      <w:pPr>
        <w:pStyle w:val="Default"/>
        <w:numPr>
          <w:ilvl w:val="0"/>
          <w:numId w:val="2"/>
        </w:numPr>
        <w:tabs>
          <w:tab w:val="clear" w:pos="708"/>
          <w:tab w:val="left" w:pos="0" w:leader="none"/>
        </w:tabs>
        <w:spacing w:lineRule="auto" w:line="360"/>
        <w:jc w:val="both"/>
        <w:rPr>
          <w:rFonts w:ascii="Titillium" w:hAnsi="Titillium"/>
          <w:sz w:val="20"/>
          <w:szCs w:val="20"/>
        </w:rPr>
      </w:pPr>
      <w:r>
        <w:rPr>
          <w:rFonts w:ascii="Titillium" w:hAnsi="Titillium"/>
          <w:sz w:val="20"/>
          <w:szCs w:val="20"/>
        </w:rPr>
        <w:t>esame della documentazione e delle banche dati relative ai dati oggetto di attestazione;</w:t>
      </w:r>
    </w:p>
    <w:p>
      <w:pPr>
        <w:pStyle w:val="Default"/>
        <w:numPr>
          <w:ilvl w:val="0"/>
          <w:numId w:val="2"/>
        </w:numPr>
        <w:tabs>
          <w:tab w:val="clear" w:pos="708"/>
          <w:tab w:val="left" w:pos="0" w:leader="none"/>
        </w:tabs>
        <w:spacing w:lineRule="auto" w:line="360"/>
        <w:jc w:val="both"/>
        <w:rPr>
          <w:rFonts w:ascii="Titillium" w:hAnsi="Titillium"/>
          <w:sz w:val="20"/>
          <w:szCs w:val="20"/>
        </w:rPr>
      </w:pPr>
      <w:r>
        <w:rPr>
          <w:rFonts w:ascii="Titillium" w:hAnsi="Titillium"/>
          <w:sz w:val="20"/>
          <w:szCs w:val="20"/>
        </w:rPr>
        <w:t>colloqui con i responsabili della trasmissione dei dati;</w:t>
      </w:r>
    </w:p>
    <w:p>
      <w:pPr>
        <w:pStyle w:val="Default"/>
        <w:numPr>
          <w:ilvl w:val="0"/>
          <w:numId w:val="2"/>
        </w:numPr>
        <w:tabs>
          <w:tab w:val="clear" w:pos="708"/>
          <w:tab w:val="left" w:pos="0" w:leader="none"/>
        </w:tabs>
        <w:spacing w:lineRule="auto" w:line="360"/>
        <w:jc w:val="both"/>
        <w:rPr>
          <w:rFonts w:ascii="Titillium" w:hAnsi="Titillium"/>
          <w:sz w:val="20"/>
          <w:szCs w:val="20"/>
        </w:rPr>
      </w:pPr>
      <w:r>
        <w:rPr>
          <w:rFonts w:ascii="Titillium" w:hAnsi="Titillium"/>
          <w:sz w:val="20"/>
          <w:szCs w:val="20"/>
        </w:rPr>
        <w:t>colloqui con i responsabili della pubblicazione dei dati;</w:t>
      </w:r>
    </w:p>
    <w:p>
      <w:pPr>
        <w:pStyle w:val="Default"/>
        <w:tabs>
          <w:tab w:val="clear" w:pos="708"/>
          <w:tab w:val="left" w:pos="0" w:leader="none"/>
        </w:tabs>
        <w:spacing w:lineRule="auto" w:line="360"/>
        <w:jc w:val="both"/>
        <w:rPr>
          <w:rFonts w:ascii="Titillium" w:hAnsi="Titillium"/>
          <w:sz w:val="20"/>
          <w:szCs w:val="20"/>
        </w:rPr>
      </w:pPr>
      <w:r>
        <w:rPr>
          <w:rFonts w:ascii="Wingdings" w:hAnsi="Wingdings"/>
        </w:rPr>
        <w:t></w:t>
      </w:r>
      <w:r>
        <w:rPr>
          <w:rFonts w:ascii="Titillium" w:hAnsi="Titillium"/>
          <w:sz w:val="20"/>
          <w:szCs w:val="20"/>
        </w:rPr>
        <w:t>verifica diretta sul sito istituzionale, anche attraverso l’utilizzo di supporti informatici.</w:t>
      </w:r>
    </w:p>
    <w:p>
      <w:pPr>
        <w:pStyle w:val="Normal"/>
        <w:spacing w:lineRule="auto" w:line="360"/>
        <w:rPr>
          <w:rFonts w:ascii="Titillium" w:hAnsi="Titillium"/>
          <w:b/>
          <w:b/>
          <w:i/>
          <w:i/>
          <w:sz w:val="20"/>
          <w:szCs w:val="20"/>
        </w:rPr>
      </w:pPr>
      <w:r>
        <w:rPr>
          <w:rFonts w:ascii="Titillium" w:hAnsi="Titillium"/>
          <w:b/>
          <w:i/>
          <w:sz w:val="20"/>
          <w:szCs w:val="20"/>
        </w:rPr>
        <w:t>Aspetti critici riscontrati nel corso della rilevazione</w:t>
      </w:r>
    </w:p>
    <w:p>
      <w:pPr>
        <w:pStyle w:val="Normal"/>
        <w:spacing w:lineRule="auto" w:line="360"/>
        <w:rPr>
          <w:rFonts w:ascii="Titillium" w:hAnsi="Titillium"/>
          <w:i/>
          <w:i/>
          <w:sz w:val="20"/>
          <w:szCs w:val="20"/>
        </w:rPr>
      </w:pPr>
      <w:r>
        <w:rPr>
          <w:rFonts w:ascii="Titillium" w:hAnsi="Titillium"/>
          <w:i/>
          <w:sz w:val="20"/>
          <w:szCs w:val="20"/>
        </w:rPr>
        <w:t>Il sito dell’Ordine non consente al momento la completa implementazione dei dati né la sua organizzazione corretta. Appena possibile (si prevede entro l’anno 2022) con il nuovo sito si riorganizzerà in modo corretto la sezione relativa all’Amministrazione Trasparente dell’Ordine. Inoltre il formato dei principali e più importanti file sono in formato aperto mentre altri no.</w:t>
      </w:r>
    </w:p>
    <w:p>
      <w:pPr>
        <w:pStyle w:val="Normal"/>
        <w:spacing w:lineRule="auto" w:line="360"/>
        <w:rPr>
          <w:rFonts w:ascii="Titillium" w:hAnsi="Titillium"/>
          <w:i/>
          <w:i/>
          <w:sz w:val="20"/>
          <w:szCs w:val="20"/>
        </w:rPr>
      </w:pPr>
      <w:r>
        <w:rPr>
          <w:rFonts w:ascii="Titillium" w:hAnsi="Titillium"/>
          <w:i/>
          <w:sz w:val="20"/>
          <w:szCs w:val="20"/>
        </w:rPr>
        <w:t>La sezione “Pagamenti dell’Amministrazione” al momento non comprende alcun pagamento. L’RPCT approfondirà l’argomento con i responsabili trasmissione e pubblicazione dei dati per verificare se vi siano dati da inserire e nel caso entro il mese di settembre adempirà agli obblighi se sussistono.</w:t>
      </w:r>
    </w:p>
    <w:p>
      <w:pPr>
        <w:pStyle w:val="Normal"/>
        <w:spacing w:lineRule="auto" w:line="360"/>
        <w:rPr>
          <w:rFonts w:ascii="Titillium" w:hAnsi="Titillium"/>
          <w:b/>
          <w:b/>
          <w:i/>
          <w:i/>
          <w:sz w:val="20"/>
          <w:szCs w:val="20"/>
        </w:rPr>
      </w:pPr>
      <w:r>
        <w:rPr>
          <w:rFonts w:ascii="Titillium" w:hAnsi="Titillium"/>
          <w:b/>
          <w:i/>
          <w:sz w:val="20"/>
          <w:szCs w:val="20"/>
        </w:rPr>
        <w:t>Eventuale documentazione da allegare</w:t>
      </w:r>
    </w:p>
    <w:p>
      <w:pPr>
        <w:pStyle w:val="Normal"/>
        <w:spacing w:lineRule="auto" w:line="360"/>
        <w:rPr>
          <w:rFonts w:ascii="Titillium" w:hAnsi="Titillium"/>
          <w:b/>
          <w:b/>
          <w:i/>
          <w:i/>
          <w:sz w:val="20"/>
          <w:szCs w:val="20"/>
        </w:rPr>
      </w:pPr>
      <w:r>
        <w:rPr>
          <w:rFonts w:ascii="Titillium" w:hAnsi="Titillium"/>
          <w:b/>
          <w:i/>
          <w:sz w:val="20"/>
          <w:szCs w:val="20"/>
        </w:rPr>
      </w:r>
    </w:p>
    <w:p>
      <w:pPr>
        <w:pStyle w:val="Normal"/>
        <w:spacing w:lineRule="auto" w:line="360" w:before="0" w:after="120"/>
        <w:rPr>
          <w:rFonts w:ascii="Titillium" w:hAnsi="Titillium"/>
          <w:b/>
          <w:b/>
          <w:i/>
          <w:i/>
          <w:sz w:val="20"/>
          <w:szCs w:val="20"/>
        </w:rPr>
      </w:pPr>
      <w:r>
        <w:rPr>
          <w:rFonts w:ascii="Titillium" w:hAnsi="Titillium"/>
          <w:b/>
          <w:i/>
          <w:sz w:val="20"/>
          <w:szCs w:val="20"/>
        </w:rPr>
        <w:t>------</w:t>
      </w:r>
    </w:p>
    <w:sectPr>
      <w:headerReference w:type="default" r:id="rId2"/>
      <w:footerReference w:type="default" r:id="rId3"/>
      <w:type w:val="nextPage"/>
      <w:pgSz w:w="11906" w:h="16838"/>
      <w:pgMar w:left="1134" w:right="1134" w:header="708" w:top="1417" w:footer="0" w:bottom="70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Arial">
    <w:charset w:val="01"/>
    <w:family w:val="swiss"/>
    <w:pitch w:val="default"/>
  </w:font>
  <w:font w:name="Titillium">
    <w:charset w:val="01"/>
    <w:family w:val="swiss"/>
    <w:pitch w:val="default"/>
  </w:font>
  <w:font w:name="Garamond">
    <w:charset w:val="01"/>
    <w:family w:val="swiss"/>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rFonts w:ascii="Garamond" w:hAnsi="Garamond"/>
        <w:b/>
        <w:b/>
      </w:rPr>
    </w:pPr>
    <w:r>
      <w:rPr>
        <w:rFonts w:ascii="Garamond" w:hAnsi="Garamond"/>
        <w:b/>
      </w:rPr>
      <w:drawing>
        <wp:anchor behindDoc="1" distT="0" distB="0" distL="114300" distR="114300" simplePos="0" locked="0" layoutInCell="0" allowOverlap="1" relativeHeight="2">
          <wp:simplePos x="0" y="0"/>
          <wp:positionH relativeFrom="margin">
            <wp:posOffset>-271780</wp:posOffset>
          </wp:positionH>
          <wp:positionV relativeFrom="topMargin">
            <wp:posOffset>453390</wp:posOffset>
          </wp:positionV>
          <wp:extent cx="2879725" cy="341630"/>
          <wp:effectExtent l="0" t="0" r="0" b="0"/>
          <wp:wrapSquare wrapText="bothSides"/>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tretch>
                    <a:fillRect/>
                  </a:stretch>
                </pic:blipFill>
                <pic:spPr bwMode="auto">
                  <a:xfrm>
                    <a:off x="0" y="0"/>
                    <a:ext cx="2879725" cy="341630"/>
                  </a:xfrm>
                  <a:prstGeom prst="rect">
                    <a:avLst/>
                  </a:prstGeom>
                </pic:spPr>
              </pic:pic>
            </a:graphicData>
          </a:graphic>
        </wp:anchor>
      </w:drawing>
    </w:r>
  </w:p>
  <w:p>
    <w:pPr>
      <w:pStyle w:val="Intestazione"/>
      <w:jc w:val="right"/>
      <w:rPr>
        <w:rFonts w:ascii="Garamond" w:hAnsi="Garamond"/>
        <w:b/>
        <w:b/>
      </w:rPr>
    </w:pPr>
    <w:r>
      <w:rPr>
        <w:rFonts w:ascii="Garamond" w:hAnsi="Garamond"/>
        <w:b/>
      </w:rPr>
    </w:r>
  </w:p>
  <w:p>
    <w:pPr>
      <w:pStyle w:val="Intestazione"/>
      <w:tabs>
        <w:tab w:val="left" w:pos="3878" w:leader="none"/>
        <w:tab w:val="center" w:pos="4819" w:leader="none"/>
        <w:tab w:val="right" w:pos="9638" w:leader="none"/>
      </w:tabs>
      <w:rPr>
        <w:rFonts w:ascii="Garamond" w:hAnsi="Garamond"/>
        <w:b/>
        <w:b/>
      </w:rPr>
    </w:pPr>
    <w:r>
      <w:rPr>
        <w:rFonts w:ascii="Garamond" w:hAnsi="Garamond"/>
        <w:b/>
      </w:rPr>
      <w:tab/>
      <w:tab/>
    </w:r>
  </w:p>
  <w:p>
    <w:pPr>
      <w:pStyle w:val="Intestazione"/>
      <w:jc w:val="right"/>
      <w:rPr>
        <w:rFonts w:ascii="Titillium" w:hAnsi="Titillium" w:cs="Times New Roman"/>
        <w:b/>
        <w:b/>
        <w:sz w:val="20"/>
        <w:szCs w:val="20"/>
      </w:rPr>
    </w:pPr>
    <w:r>
      <w:rPr>
        <w:rFonts w:ascii="Titillium" w:hAnsi="Titillium"/>
        <w:b/>
        <w:sz w:val="20"/>
        <w:szCs w:val="20"/>
      </w:rPr>
      <w:t xml:space="preserve">Allegato 3 alla </w:t>
    </w:r>
    <w:r>
      <w:rPr>
        <w:rFonts w:cs="Times New Roman" w:ascii="Titillium" w:hAnsi="Titillium"/>
        <w:b/>
        <w:sz w:val="20"/>
        <w:szCs w:val="20"/>
      </w:rPr>
      <w:t>delibera ANAC n. 201/2022</w:t>
    </w:r>
  </w:p>
  <w:p>
    <w:pPr>
      <w:pStyle w:val="Intestazione"/>
      <w:jc w:val="right"/>
      <w:rPr>
        <w:rFonts w:ascii="Garamond" w:hAnsi="Garamond" w:cs="Times New Roman"/>
        <w:b/>
        <w:b/>
      </w:rPr>
    </w:pPr>
    <w:r>
      <w:rPr>
        <w:rFonts w:cs="Times New Roman" w:ascii="Garamond" w:hAnsi="Garamond"/>
        <w:b/>
      </w:rPr>
    </w:r>
  </w:p>
  <w:p>
    <w:pPr>
      <w:pStyle w:val="Intestazione"/>
      <w:jc w:val="right"/>
      <w:rPr>
        <w:rFonts w:ascii="Garamond" w:hAnsi="Garamond" w:cs="Times New Roman"/>
        <w:b/>
        <w:b/>
      </w:rPr>
    </w:pPr>
    <w:r>
      <w:rPr>
        <w:rFonts w:cs="Times New Roman" w:ascii="Garamond" w:hAnsi="Garamond"/>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keepNext w:val="true"/>
      <w:widowControl w:val="false"/>
      <w:pBdr/>
      <w:suppressAutoHyphens w:val="true"/>
      <w:bidi w:val="0"/>
      <w:spacing w:lineRule="atLeast" w:line="100" w:before="0" w:after="120"/>
      <w:jc w:val="both"/>
    </w:pPr>
    <w:rPr>
      <w:rFonts w:ascii="Times New Roman" w:hAnsi="Times New Roman" w:eastAsia="Times New Roman" w:cs="Cambria"/>
      <w:color w:val="auto"/>
      <w:kern w:val="0"/>
      <w:sz w:val="24"/>
      <w:szCs w:val="24"/>
      <w:lang w:eastAsia="ar-SA" w:val="it-IT" w:bidi="ar-SA"/>
    </w:rPr>
  </w:style>
  <w:style w:type="character" w:styleId="DefaultParagraphFont" w:default="1">
    <w:name w:val="Default Paragraph Font"/>
    <w:uiPriority w:val="1"/>
    <w:semiHidden/>
    <w:unhideWhenUsed/>
    <w:qFormat/>
    <w:rPr/>
  </w:style>
  <w:style w:type="character" w:styleId="Richiamoallanotaapidipagina">
    <w:name w:val="Richiamo alla nota a piè di pagina"/>
    <w:rPr>
      <w:sz w:val="14"/>
      <w:vertAlign w:val="superscript"/>
    </w:rPr>
  </w:style>
  <w:style w:type="character" w:styleId="FootnoteCharacters">
    <w:name w:val="Footnote Characters"/>
    <w:basedOn w:val="DefaultParagraphFont"/>
    <w:qFormat/>
    <w:rPr>
      <w:sz w:val="14"/>
      <w:vertAlign w:val="superscript"/>
    </w:rPr>
  </w:style>
  <w:style w:type="character" w:styleId="TestonotaapidipaginaCarattere" w:customStyle="1">
    <w:name w:val="Testo nota a piè di pagina Carattere"/>
    <w:basedOn w:val="DefaultParagraphFont"/>
    <w:qFormat/>
    <w:rPr>
      <w:rFonts w:ascii="Times New Roman" w:hAnsi="Times New Roman" w:eastAsia="Times New Roman" w:cs="Cambria"/>
      <w:sz w:val="20"/>
      <w:szCs w:val="20"/>
      <w:lang w:eastAsia="ar-SA"/>
    </w:rPr>
  </w:style>
  <w:style w:type="character" w:styleId="TestonotaapidipaginaCarattere1" w:customStyle="1">
    <w:name w:val="Testo nota a piè di pagina Carattere1"/>
    <w:basedOn w:val="DefaultParagraphFont"/>
    <w:qFormat/>
    <w:rPr>
      <w:rFonts w:ascii="Times New Roman" w:hAnsi="Times New Roman" w:eastAsia="Times New Roman" w:cs="Cambria"/>
      <w:sz w:val="24"/>
      <w:szCs w:val="24"/>
      <w:lang w:eastAsia="ar-SA"/>
    </w:rPr>
  </w:style>
  <w:style w:type="character" w:styleId="TitoloCarattere" w:customStyle="1">
    <w:name w:val="Titolo Carattere"/>
    <w:basedOn w:val="DefaultParagraphFont"/>
    <w:qFormat/>
    <w:rPr>
      <w:rFonts w:ascii="Times New Roman" w:hAnsi="Times New Roman" w:eastAsia="Times New Roman" w:cs="Times New Roman"/>
      <w:b/>
      <w:bCs/>
      <w:i/>
      <w:sz w:val="36"/>
      <w:szCs w:val="32"/>
      <w:lang w:eastAsia="ar-SA"/>
    </w:rPr>
  </w:style>
  <w:style w:type="character" w:styleId="IntestazioneCarattere" w:customStyle="1">
    <w:name w:val="Intestazione Carattere"/>
    <w:basedOn w:val="DefaultParagraphFont"/>
    <w:qFormat/>
    <w:rPr>
      <w:rFonts w:ascii="Times New Roman" w:hAnsi="Times New Roman" w:eastAsia="Times New Roman" w:cs="Cambria"/>
      <w:sz w:val="24"/>
      <w:szCs w:val="24"/>
      <w:lang w:eastAsia="ar-SA"/>
    </w:rPr>
  </w:style>
  <w:style w:type="character" w:styleId="PidipaginaCarattere" w:customStyle="1">
    <w:name w:val="Piè di pagina Carattere"/>
    <w:basedOn w:val="DefaultParagraphFont"/>
    <w:qFormat/>
    <w:rPr>
      <w:rFonts w:ascii="Times New Roman" w:hAnsi="Times New Roman" w:eastAsia="Times New Roman" w:cs="Cambria"/>
      <w:sz w:val="24"/>
      <w:szCs w:val="24"/>
      <w:lang w:eastAsia="ar-SA"/>
    </w:rPr>
  </w:style>
  <w:style w:type="character" w:styleId="Annotationreference">
    <w:name w:val="annotation reference"/>
    <w:basedOn w:val="DefaultParagraphFont"/>
    <w:qFormat/>
    <w:rPr>
      <w:sz w:val="16"/>
      <w:szCs w:val="16"/>
    </w:rPr>
  </w:style>
  <w:style w:type="character" w:styleId="TestocommentoCarattere" w:customStyle="1">
    <w:name w:val="Testo commento Carattere"/>
    <w:basedOn w:val="DefaultParagraphFont"/>
    <w:qFormat/>
    <w:rPr>
      <w:rFonts w:ascii="Times New Roman" w:hAnsi="Times New Roman" w:eastAsia="Times New Roman" w:cs="Cambria"/>
      <w:sz w:val="20"/>
      <w:szCs w:val="20"/>
      <w:lang w:eastAsia="ar-SA"/>
    </w:rPr>
  </w:style>
  <w:style w:type="character" w:styleId="SoggettocommentoCarattere" w:customStyle="1">
    <w:name w:val="Soggetto commento Carattere"/>
    <w:basedOn w:val="TestocommentoCarattere"/>
    <w:qFormat/>
    <w:rPr>
      <w:rFonts w:ascii="Times New Roman" w:hAnsi="Times New Roman" w:eastAsia="Times New Roman" w:cs="Cambria"/>
      <w:b/>
      <w:bCs/>
      <w:sz w:val="20"/>
      <w:szCs w:val="20"/>
      <w:lang w:eastAsia="ar-SA"/>
    </w:rPr>
  </w:style>
  <w:style w:type="character" w:styleId="TestofumettoCarattere" w:customStyle="1">
    <w:name w:val="Testo fumetto Carattere"/>
    <w:basedOn w:val="DefaultParagraphFont"/>
    <w:qFormat/>
    <w:rPr>
      <w:rFonts w:ascii="Tahoma" w:hAnsi="Tahoma" w:eastAsia="Times New Roman" w:cs="Tahoma"/>
      <w:sz w:val="16"/>
      <w:szCs w:val="16"/>
      <w:lang w:eastAsia="ar-SA"/>
    </w:rPr>
  </w:style>
  <w:style w:type="character" w:styleId="WWCharLFO13LVL1" w:customStyle="1">
    <w:name w:val="WW_CharLFO13LVL1"/>
    <w:qFormat/>
    <w:rPr>
      <w:rFonts w:ascii="Times New Roman" w:hAnsi="Times New Roman" w:eastAsia="Times New Roman" w:cs="Times New Roman"/>
    </w:rPr>
  </w:style>
  <w:style w:type="character" w:styleId="WWCharLFO13LVL2" w:customStyle="1">
    <w:name w:val="WW_CharLFO13LVL2"/>
    <w:qFormat/>
    <w:rPr>
      <w:rFonts w:ascii="Courier New" w:hAnsi="Courier New" w:cs="Courier New"/>
    </w:rPr>
  </w:style>
  <w:style w:type="character" w:styleId="WWCharLFO13LVL3" w:customStyle="1">
    <w:name w:val="WW_CharLFO13LVL3"/>
    <w:qFormat/>
    <w:rPr>
      <w:rFonts w:ascii="Wingdings" w:hAnsi="Wingdings"/>
    </w:rPr>
  </w:style>
  <w:style w:type="character" w:styleId="WWCharLFO13LVL4" w:customStyle="1">
    <w:name w:val="WW_CharLFO13LVL4"/>
    <w:qFormat/>
    <w:rPr>
      <w:rFonts w:ascii="Symbol" w:hAnsi="Symbol"/>
    </w:rPr>
  </w:style>
  <w:style w:type="character" w:styleId="WWCharLFO13LVL5" w:customStyle="1">
    <w:name w:val="WW_CharLFO13LVL5"/>
    <w:qFormat/>
    <w:rPr>
      <w:rFonts w:ascii="Courier New" w:hAnsi="Courier New" w:cs="Courier New"/>
    </w:rPr>
  </w:style>
  <w:style w:type="character" w:styleId="WWCharLFO13LVL6" w:customStyle="1">
    <w:name w:val="WW_CharLFO13LVL6"/>
    <w:qFormat/>
    <w:rPr>
      <w:rFonts w:ascii="Wingdings" w:hAnsi="Wingdings"/>
    </w:rPr>
  </w:style>
  <w:style w:type="character" w:styleId="WWCharLFO13LVL7" w:customStyle="1">
    <w:name w:val="WW_CharLFO13LVL7"/>
    <w:qFormat/>
    <w:rPr>
      <w:rFonts w:ascii="Symbol" w:hAnsi="Symbol"/>
    </w:rPr>
  </w:style>
  <w:style w:type="character" w:styleId="WWCharLFO13LVL8" w:customStyle="1">
    <w:name w:val="WW_CharLFO13LVL8"/>
    <w:qFormat/>
    <w:rPr>
      <w:rFonts w:ascii="Courier New" w:hAnsi="Courier New" w:cs="Courier New"/>
    </w:rPr>
  </w:style>
  <w:style w:type="character" w:styleId="WWCharLFO13LVL9" w:customStyle="1">
    <w:name w:val="WW_CharLFO13LVL9"/>
    <w:qFormat/>
    <w:rPr>
      <w:rFonts w:ascii="Wingdings" w:hAnsi="Wingdings"/>
    </w:rPr>
  </w:style>
  <w:style w:type="character" w:styleId="WWCharLFO15LVL1" w:customStyle="1">
    <w:name w:val="WW_CharLFO15LVL1"/>
    <w:qFormat/>
    <w:rPr>
      <w:rFonts w:ascii="Times New Roman" w:hAnsi="Times New Roman" w:eastAsia="Calibri" w:cs="Times New Roman"/>
      <w:sz w:val="20"/>
    </w:rPr>
  </w:style>
  <w:style w:type="character" w:styleId="WWCharLFO15LVL2" w:customStyle="1">
    <w:name w:val="WW_CharLFO15LVL2"/>
    <w:qFormat/>
    <w:rPr>
      <w:rFonts w:ascii="Courier New" w:hAnsi="Courier New" w:cs="Courier New"/>
    </w:rPr>
  </w:style>
  <w:style w:type="character" w:styleId="WWCharLFO15LVL3" w:customStyle="1">
    <w:name w:val="WW_CharLFO15LVL3"/>
    <w:qFormat/>
    <w:rPr>
      <w:rFonts w:ascii="Wingdings" w:hAnsi="Wingdings"/>
    </w:rPr>
  </w:style>
  <w:style w:type="character" w:styleId="WWCharLFO15LVL4" w:customStyle="1">
    <w:name w:val="WW_CharLFO15LVL4"/>
    <w:qFormat/>
    <w:rPr>
      <w:rFonts w:ascii="Symbol" w:hAnsi="Symbol"/>
    </w:rPr>
  </w:style>
  <w:style w:type="character" w:styleId="WWCharLFO15LVL5" w:customStyle="1">
    <w:name w:val="WW_CharLFO15LVL5"/>
    <w:qFormat/>
    <w:rPr>
      <w:rFonts w:ascii="Courier New" w:hAnsi="Courier New" w:cs="Courier New"/>
    </w:rPr>
  </w:style>
  <w:style w:type="character" w:styleId="WWCharLFO15LVL6" w:customStyle="1">
    <w:name w:val="WW_CharLFO15LVL6"/>
    <w:qFormat/>
    <w:rPr>
      <w:rFonts w:ascii="Wingdings" w:hAnsi="Wingdings"/>
    </w:rPr>
  </w:style>
  <w:style w:type="character" w:styleId="WWCharLFO15LVL7" w:customStyle="1">
    <w:name w:val="WW_CharLFO15LVL7"/>
    <w:qFormat/>
    <w:rPr>
      <w:rFonts w:ascii="Symbol" w:hAnsi="Symbol"/>
    </w:rPr>
  </w:style>
  <w:style w:type="character" w:styleId="WWCharLFO15LVL8" w:customStyle="1">
    <w:name w:val="WW_CharLFO15LVL8"/>
    <w:qFormat/>
    <w:rPr>
      <w:rFonts w:ascii="Courier New" w:hAnsi="Courier New" w:cs="Courier New"/>
    </w:rPr>
  </w:style>
  <w:style w:type="character" w:styleId="WWCharLFO15LVL9" w:customStyle="1">
    <w:name w:val="WW_CharLFO15LVL9"/>
    <w:qFormat/>
    <w:rPr>
      <w:rFonts w:ascii="Wingdings" w:hAnsi="Wingdings"/>
    </w:rPr>
  </w:style>
  <w:style w:type="character" w:styleId="Caratteredellanota" w:customStyle="1">
    <w:name w:val="Carattere della nota"/>
    <w:qFormat/>
    <w:rPr/>
  </w:style>
  <w:style w:type="paragraph" w:styleId="Titolo">
    <w:name w:val="Titolo"/>
    <w:basedOn w:val="Normal"/>
    <w:next w:val="Corpodeltesto"/>
    <w:qFormat/>
    <w:pPr>
      <w:keepNext w:val="true"/>
      <w:spacing w:before="240" w:after="120"/>
    </w:pPr>
    <w:rPr>
      <w:rFonts w:ascii="Arial" w:hAnsi="Arial" w:eastAsia="Microsoft YaHei" w:cs="Mangal"/>
      <w:sz w:val="20"/>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Arial" w:hAnsi="Arial" w:cs="Mangal"/>
    </w:rPr>
  </w:style>
  <w:style w:type="paragraph" w:styleId="Didascalia">
    <w:name w:val="Caption"/>
    <w:basedOn w:val="Normal"/>
    <w:qFormat/>
    <w:pPr>
      <w:suppressLineNumbers/>
      <w:spacing w:before="120" w:after="120"/>
    </w:pPr>
    <w:rPr>
      <w:rFonts w:ascii="Arial" w:hAnsi="Arial" w:cs="Mangal"/>
      <w:i/>
      <w:iCs/>
      <w:sz w:val="20"/>
      <w:szCs w:val="24"/>
    </w:rPr>
  </w:style>
  <w:style w:type="paragraph" w:styleId="Indice">
    <w:name w:val="Indice"/>
    <w:basedOn w:val="Normal"/>
    <w:qFormat/>
    <w:pPr>
      <w:suppressLineNumbers/>
    </w:pPr>
    <w:rPr>
      <w:rFonts w:ascii="Arial" w:hAnsi="Arial" w:cs="Mangal"/>
    </w:rPr>
  </w:style>
  <w:style w:type="paragraph" w:styleId="Notaapidipagina">
    <w:name w:val="Footnote Text"/>
    <w:basedOn w:val="Normal"/>
    <w:pPr/>
    <w:rPr/>
  </w:style>
  <w:style w:type="paragraph" w:styleId="ListParagraph">
    <w:name w:val="List Paragraph"/>
    <w:basedOn w:val="Normal"/>
    <w:qFormat/>
    <w:pPr>
      <w:ind w:left="357" w:hanging="357"/>
    </w:pPr>
    <w:rPr/>
  </w:style>
  <w:style w:type="paragraph" w:styleId="Titoloprincipale">
    <w:name w:val="Title"/>
    <w:basedOn w:val="Normal"/>
    <w:next w:val="Normal"/>
    <w:autoRedefine/>
    <w:qFormat/>
    <w:pPr>
      <w:spacing w:before="240" w:after="240"/>
      <w:jc w:val="center"/>
      <w:outlineLvl w:val="0"/>
    </w:pPr>
    <w:rPr>
      <w:rFonts w:cs="Times New Roman"/>
      <w:b/>
      <w:bCs/>
      <w:i/>
      <w:sz w:val="36"/>
      <w:szCs w:val="32"/>
    </w:rPr>
  </w:style>
  <w:style w:type="paragraph" w:styleId="Corpodeltesto1" w:customStyle="1">
    <w:name w:val="Corpo del testo1"/>
    <w:basedOn w:val="Normal"/>
    <w:qFormat/>
    <w:pPr/>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spacing w:before="0" w:after="0"/>
    </w:pPr>
    <w:rPr/>
  </w:style>
  <w:style w:type="paragraph" w:styleId="Pidipagina">
    <w:name w:val="Footer"/>
    <w:basedOn w:val="Normal"/>
    <w:pPr>
      <w:tabs>
        <w:tab w:val="clear" w:pos="708"/>
        <w:tab w:val="center" w:pos="4819" w:leader="none"/>
        <w:tab w:val="right" w:pos="9638" w:leader="none"/>
      </w:tabs>
      <w:spacing w:before="0" w:after="0"/>
    </w:pPr>
    <w:rPr/>
  </w:style>
  <w:style w:type="paragraph" w:styleId="Default" w:customStyle="1">
    <w:name w:val="Default"/>
    <w:qFormat/>
    <w:pPr>
      <w:keepNext w:val="true"/>
      <w:widowControl/>
      <w:pBdr/>
      <w:suppressAutoHyphens w:val="true"/>
      <w:bidi w:val="0"/>
      <w:spacing w:lineRule="atLeast" w:line="100" w:before="0" w:after="0"/>
      <w:jc w:val="left"/>
    </w:pPr>
    <w:rPr>
      <w:rFonts w:ascii="Times New Roman" w:hAnsi="Times New Roman" w:eastAsia="Calibri" w:cs="Times New Roman"/>
      <w:color w:val="000000"/>
      <w:kern w:val="0"/>
      <w:sz w:val="24"/>
      <w:szCs w:val="24"/>
      <w:lang w:eastAsia="en-US" w:val="it-IT" w:bidi="ar-SA"/>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LibreOffice/7.1.7.2$Windows_X86_64 LibreOffice_project/c6a4e3954236145e2acb0b65f68614365aeee33f</Application>
  <AppVersion>15.0000</AppVersion>
  <Pages>1</Pages>
  <Words>297</Words>
  <Characters>1821</Characters>
  <CharactersWithSpaces>2094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2022-05-27T13:50:00Z</dcterms:created>
  <dc:creator>i.siciliani</dc:creator>
  <dc:description/>
  <dc:language>it-IT</dc:language>
  <cp:lastModifiedBy>Giorgio Cocco</cp:lastModifiedBy>
  <cp:lastPrinted>2018-02-28T15:30:00Z</cp:lastPrinted>
  <dcterms:modified xsi:type="dcterms:W3CDTF">2022-05-28T17:04:00Z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